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91F0D" w14:textId="7A4FFCCD" w:rsidR="00371503" w:rsidRPr="00557D6E" w:rsidRDefault="00D80CCA" w:rsidP="000A2A33">
      <w:pPr>
        <w:spacing w:before="100" w:beforeAutospacing="1" w:after="100" w:afterAutospacing="1" w:line="240" w:lineRule="auto"/>
        <w:rPr>
          <w:rFonts w:ascii="Century Gothic" w:hAnsi="Century Gothic"/>
        </w:rPr>
      </w:pPr>
      <w:r w:rsidRPr="00557D6E">
        <w:rPr>
          <w:rFonts w:ascii="Century Gothic" w:eastAsia="Times New Roman" w:hAnsi="Century Gothic" w:cs="Times New Roman"/>
        </w:rPr>
        <w:t>Ref. No.</w:t>
      </w:r>
      <w:r w:rsidRPr="00557D6E">
        <w:rPr>
          <w:rFonts w:ascii="Century Gothic" w:hAnsi="Century Gothic"/>
          <w:spacing w:val="-13"/>
        </w:rPr>
        <w:t xml:space="preserve"> </w:t>
      </w:r>
      <w:r w:rsidR="00D01CD7" w:rsidRPr="00557D6E">
        <w:rPr>
          <w:rFonts w:ascii="Century Gothic" w:eastAsia="Times New Roman" w:hAnsi="Century Gothic" w:cs="Times New Roman"/>
        </w:rPr>
        <w:t xml:space="preserve">SPAV/R&amp;M/2025–26                                                              </w:t>
      </w:r>
      <w:r w:rsidR="000137AD" w:rsidRPr="00557D6E">
        <w:rPr>
          <w:rFonts w:ascii="Century Gothic" w:eastAsia="Times New Roman" w:hAnsi="Century Gothic" w:cs="Times New Roman"/>
        </w:rPr>
        <w:t xml:space="preserve">        </w:t>
      </w:r>
      <w:r w:rsidR="00D01CD7" w:rsidRPr="00557D6E">
        <w:rPr>
          <w:rFonts w:ascii="Century Gothic" w:eastAsia="Times New Roman" w:hAnsi="Century Gothic" w:cs="Times New Roman"/>
        </w:rPr>
        <w:t xml:space="preserve">  </w:t>
      </w:r>
      <w:r w:rsidRPr="00557D6E">
        <w:rPr>
          <w:rFonts w:ascii="Century Gothic" w:hAnsi="Century Gothic"/>
        </w:rPr>
        <w:t xml:space="preserve">Date: </w:t>
      </w:r>
      <w:r w:rsidR="00557D6E" w:rsidRPr="00557D6E">
        <w:rPr>
          <w:rFonts w:ascii="Century Gothic" w:hAnsi="Century Gothic"/>
        </w:rPr>
        <w:t>10</w:t>
      </w:r>
      <w:r w:rsidRPr="00557D6E">
        <w:rPr>
          <w:rFonts w:ascii="Century Gothic" w:hAnsi="Century Gothic"/>
        </w:rPr>
        <w:t>.0</w:t>
      </w:r>
      <w:r w:rsidR="00D01CD7" w:rsidRPr="00557D6E">
        <w:rPr>
          <w:rFonts w:ascii="Century Gothic" w:hAnsi="Century Gothic"/>
        </w:rPr>
        <w:t>2</w:t>
      </w:r>
      <w:r w:rsidRPr="00557D6E">
        <w:rPr>
          <w:rFonts w:ascii="Century Gothic" w:hAnsi="Century Gothic"/>
        </w:rPr>
        <w:t>.202</w:t>
      </w:r>
      <w:r w:rsidR="00D01CD7" w:rsidRPr="00557D6E">
        <w:rPr>
          <w:rFonts w:ascii="Century Gothic" w:hAnsi="Century Gothic"/>
        </w:rPr>
        <w:t>6</w:t>
      </w:r>
    </w:p>
    <w:p w14:paraId="19D90F7D" w14:textId="77777777" w:rsidR="00371503" w:rsidRPr="00557D6E" w:rsidRDefault="00371503" w:rsidP="00371503">
      <w:pPr>
        <w:pStyle w:val="Heading1"/>
        <w:ind w:right="3"/>
        <w:rPr>
          <w:rFonts w:ascii="Century Gothic" w:hAnsi="Century Gothic"/>
        </w:rPr>
      </w:pPr>
      <w:r w:rsidRPr="00557D6E">
        <w:rPr>
          <w:rFonts w:ascii="Century Gothic" w:hAnsi="Century Gothic"/>
          <w14:shadow w14:blurRad="50800" w14:dist="38100" w14:dir="2700000" w14:sx="100000" w14:sy="100000" w14:kx="0" w14:ky="0" w14:algn="tl">
            <w14:srgbClr w14:val="000000">
              <w14:alpha w14:val="60000"/>
            </w14:srgbClr>
          </w14:shadow>
        </w:rPr>
        <w:t>NOTICE</w:t>
      </w:r>
      <w:r w:rsidRPr="00557D6E">
        <w:rPr>
          <w:rFonts w:ascii="Century Gothic" w:hAnsi="Century Gothic"/>
          <w:spacing w:val="-7"/>
        </w:rPr>
        <w:t xml:space="preserve"> </w:t>
      </w:r>
      <w:r w:rsidRPr="00557D6E">
        <w:rPr>
          <w:rFonts w:ascii="Century Gothic" w:hAnsi="Century Gothic"/>
          <w14:shadow w14:blurRad="50800" w14:dist="38100" w14:dir="2700000" w14:sx="100000" w14:sy="100000" w14:kx="0" w14:ky="0" w14:algn="tl">
            <w14:srgbClr w14:val="000000">
              <w14:alpha w14:val="60000"/>
            </w14:srgbClr>
          </w14:shadow>
        </w:rPr>
        <w:t>INVITING</w:t>
      </w:r>
      <w:r w:rsidRPr="00557D6E">
        <w:rPr>
          <w:rFonts w:ascii="Century Gothic" w:hAnsi="Century Gothic"/>
          <w:spacing w:val="-5"/>
        </w:rPr>
        <w:t xml:space="preserve"> </w:t>
      </w:r>
      <w:r w:rsidRPr="00557D6E">
        <w:rPr>
          <w:rFonts w:ascii="Century Gothic" w:hAnsi="Century Gothic"/>
          <w:spacing w:val="-2"/>
          <w14:shadow w14:blurRad="50800" w14:dist="38100" w14:dir="2700000" w14:sx="100000" w14:sy="100000" w14:kx="0" w14:ky="0" w14:algn="tl">
            <w14:srgbClr w14:val="000000">
              <w14:alpha w14:val="60000"/>
            </w14:srgbClr>
          </w14:shadow>
        </w:rPr>
        <w:t>QUOTATIONS</w:t>
      </w:r>
    </w:p>
    <w:p w14:paraId="5B9A888C" w14:textId="0DB77A59" w:rsidR="000A2A33" w:rsidRPr="00557D6E" w:rsidRDefault="000A2A33" w:rsidP="00371503">
      <w:pPr>
        <w:pStyle w:val="BodyText"/>
        <w:spacing w:line="276" w:lineRule="auto"/>
        <w:ind w:left="300" w:right="16"/>
        <w:jc w:val="both"/>
        <w:rPr>
          <w:rFonts w:ascii="Century Gothic" w:hAnsi="Century Gothic"/>
        </w:rPr>
      </w:pPr>
      <w:r w:rsidRPr="00557D6E">
        <w:rPr>
          <w:rFonts w:ascii="Century Gothic" w:hAnsi="Century Gothic"/>
        </w:rPr>
        <w:t>The School of Planning and Architecture, Vijayawada</w:t>
      </w:r>
      <w:r w:rsidR="008B29B0" w:rsidRPr="00557D6E">
        <w:rPr>
          <w:rFonts w:ascii="Century Gothic" w:hAnsi="Century Gothic"/>
        </w:rPr>
        <w:t>,</w:t>
      </w:r>
      <w:r w:rsidRPr="00557D6E">
        <w:rPr>
          <w:rFonts w:ascii="Century Gothic" w:hAnsi="Century Gothic"/>
        </w:rPr>
        <w:t xml:space="preserve"> invites sealed quotations from eligible State/Central Government empaneled contractors/</w:t>
      </w:r>
      <w:r w:rsidR="00FC07B1" w:rsidRPr="00557D6E">
        <w:rPr>
          <w:rFonts w:ascii="Century Gothic" w:hAnsi="Century Gothic"/>
        </w:rPr>
        <w:t>GST-registered</w:t>
      </w:r>
      <w:r w:rsidRPr="00557D6E">
        <w:rPr>
          <w:rFonts w:ascii="Century Gothic" w:hAnsi="Century Gothic"/>
        </w:rPr>
        <w:t xml:space="preserve"> agencies for the following work as per the details given below:</w:t>
      </w:r>
    </w:p>
    <w:p w14:paraId="7783C6BD" w14:textId="77777777" w:rsidR="000A2A33" w:rsidRPr="00557D6E" w:rsidRDefault="000A2A33" w:rsidP="00371503">
      <w:pPr>
        <w:pStyle w:val="BodyText"/>
        <w:spacing w:line="276" w:lineRule="auto"/>
        <w:ind w:left="300" w:right="16"/>
        <w:jc w:val="both"/>
        <w:rPr>
          <w:rFonts w:ascii="Century Gothic" w:hAnsi="Century Gothic"/>
        </w:rPr>
      </w:pPr>
    </w:p>
    <w:p w14:paraId="09C153DC" w14:textId="77777777" w:rsidR="00557D6E" w:rsidRPr="00557D6E" w:rsidRDefault="00371503" w:rsidP="00557D6E">
      <w:pPr>
        <w:pStyle w:val="BodyText"/>
        <w:spacing w:line="276" w:lineRule="auto"/>
        <w:ind w:left="300" w:right="16"/>
        <w:jc w:val="both"/>
        <w:rPr>
          <w:rFonts w:ascii="Century Gothic" w:hAnsi="Century Gothic"/>
        </w:rPr>
      </w:pPr>
      <w:r w:rsidRPr="00557D6E">
        <w:rPr>
          <w:rFonts w:ascii="Century Gothic" w:hAnsi="Century Gothic"/>
        </w:rPr>
        <w:t>Name of Work:</w:t>
      </w:r>
      <w:r w:rsidR="00130789" w:rsidRPr="00557D6E">
        <w:rPr>
          <w:rFonts w:ascii="Century Gothic" w:hAnsi="Century Gothic"/>
        </w:rPr>
        <w:t xml:space="preserve"> </w:t>
      </w:r>
      <w:r w:rsidR="00557D6E" w:rsidRPr="00557D6E">
        <w:rPr>
          <w:rFonts w:ascii="Century Gothic" w:hAnsi="Century Gothic"/>
        </w:rPr>
        <w:t xml:space="preserve">Maintenance of </w:t>
      </w:r>
      <w:r w:rsidR="00557D6E" w:rsidRPr="00557D6E">
        <w:rPr>
          <w:rStyle w:val="Strong"/>
          <w:rFonts w:ascii="Century Gothic" w:hAnsi="Century Gothic"/>
          <w:b w:val="0"/>
          <w:bCs w:val="0"/>
        </w:rPr>
        <w:t>2.66 acres Sports Ground</w:t>
      </w:r>
      <w:r w:rsidR="00557D6E" w:rsidRPr="00557D6E">
        <w:rPr>
          <w:rFonts w:ascii="Century Gothic" w:hAnsi="Century Gothic"/>
        </w:rPr>
        <w:t xml:space="preserve"> at SPAV Campus, Sy. No. 4/4, ITI Road, Vijayawada – 520008.</w:t>
      </w:r>
    </w:p>
    <w:p w14:paraId="12BBDE01" w14:textId="77777777" w:rsidR="00557D6E" w:rsidRPr="00557D6E" w:rsidRDefault="00557D6E" w:rsidP="00557D6E">
      <w:pPr>
        <w:pStyle w:val="BodyText"/>
        <w:spacing w:line="276" w:lineRule="auto"/>
        <w:ind w:left="300" w:right="16"/>
        <w:jc w:val="both"/>
        <w:rPr>
          <w:rFonts w:ascii="Century Gothic" w:hAnsi="Century Gothic"/>
        </w:rPr>
      </w:pPr>
    </w:p>
    <w:p w14:paraId="696B8CE5" w14:textId="58BAD64B" w:rsidR="00371503" w:rsidRPr="00557D6E" w:rsidRDefault="00371503" w:rsidP="00557D6E">
      <w:pPr>
        <w:pStyle w:val="Heading1"/>
        <w:ind w:right="3"/>
        <w:rPr>
          <w:rFonts w:ascii="Century Gothic" w:hAnsi="Century Gothic"/>
          <w14:shadow w14:blurRad="50800" w14:dist="38100" w14:dir="2700000" w14:sx="100000" w14:sy="100000" w14:kx="0" w14:ky="0" w14:algn="tl">
            <w14:srgbClr w14:val="000000">
              <w14:alpha w14:val="60000"/>
            </w14:srgbClr>
          </w14:shadow>
        </w:rPr>
      </w:pPr>
      <w:r w:rsidRPr="00557D6E">
        <w:rPr>
          <w:rFonts w:ascii="Century Gothic" w:hAnsi="Century Gothic"/>
          <w14:shadow w14:blurRad="50800" w14:dist="38100" w14:dir="2700000" w14:sx="100000" w14:sy="100000" w14:kx="0" w14:ky="0" w14:algn="tl">
            <w14:srgbClr w14:val="000000">
              <w14:alpha w14:val="60000"/>
            </w14:srgbClr>
          </w14:shadow>
        </w:rPr>
        <w:t>SCHEDULE OF QUANTITIES</w:t>
      </w:r>
    </w:p>
    <w:p w14:paraId="5E090B13" w14:textId="77777777" w:rsidR="00371503" w:rsidRPr="00557D6E" w:rsidRDefault="00371503" w:rsidP="00371503">
      <w:pPr>
        <w:pStyle w:val="BodyText"/>
        <w:spacing w:before="24"/>
        <w:rPr>
          <w:rFonts w:ascii="Century Gothic" w:hAnsi="Century Gothic"/>
          <w:b/>
        </w:rPr>
      </w:pPr>
    </w:p>
    <w:tbl>
      <w:tblPr>
        <w:tblW w:w="4922"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3972"/>
        <w:gridCol w:w="847"/>
        <w:gridCol w:w="1136"/>
        <w:gridCol w:w="1138"/>
        <w:gridCol w:w="1696"/>
      </w:tblGrid>
      <w:tr w:rsidR="000137AD" w:rsidRPr="00557D6E" w14:paraId="01C05352" w14:textId="77777777" w:rsidTr="000137AD">
        <w:trPr>
          <w:trHeight w:val="602"/>
        </w:trPr>
        <w:tc>
          <w:tcPr>
            <w:tcW w:w="373" w:type="pct"/>
          </w:tcPr>
          <w:p w14:paraId="1BFAC899" w14:textId="5D4B5A2E" w:rsidR="00371503" w:rsidRPr="00557D6E" w:rsidRDefault="00371503" w:rsidP="0039221C">
            <w:pPr>
              <w:pStyle w:val="TableParagraph"/>
              <w:ind w:left="107" w:right="129"/>
              <w:rPr>
                <w:rFonts w:ascii="Century Gothic" w:hAnsi="Century Gothic"/>
                <w:b/>
                <w:bCs/>
              </w:rPr>
            </w:pPr>
            <w:proofErr w:type="spellStart"/>
            <w:proofErr w:type="gramStart"/>
            <w:r w:rsidRPr="00557D6E">
              <w:rPr>
                <w:rFonts w:ascii="Century Gothic" w:hAnsi="Century Gothic"/>
                <w:b/>
                <w:bCs/>
                <w:spacing w:val="-6"/>
              </w:rPr>
              <w:t>S</w:t>
            </w:r>
            <w:r w:rsidR="000137AD" w:rsidRPr="00557D6E">
              <w:rPr>
                <w:rFonts w:ascii="Century Gothic" w:hAnsi="Century Gothic"/>
                <w:b/>
                <w:bCs/>
                <w:spacing w:val="-6"/>
              </w:rPr>
              <w:t>.</w:t>
            </w:r>
            <w:r w:rsidRPr="00557D6E">
              <w:rPr>
                <w:rFonts w:ascii="Century Gothic" w:hAnsi="Century Gothic"/>
                <w:b/>
                <w:bCs/>
                <w:spacing w:val="-6"/>
              </w:rPr>
              <w:t>No</w:t>
            </w:r>
            <w:proofErr w:type="spellEnd"/>
            <w:proofErr w:type="gramEnd"/>
          </w:p>
        </w:tc>
        <w:tc>
          <w:tcPr>
            <w:tcW w:w="2091" w:type="pct"/>
          </w:tcPr>
          <w:p w14:paraId="7EEE503F" w14:textId="77777777" w:rsidR="00371503" w:rsidRPr="00557D6E" w:rsidRDefault="00371503" w:rsidP="0039221C">
            <w:pPr>
              <w:pStyle w:val="TableParagraph"/>
              <w:ind w:left="105"/>
              <w:rPr>
                <w:rFonts w:ascii="Century Gothic" w:hAnsi="Century Gothic"/>
                <w:b/>
                <w:bCs/>
              </w:rPr>
            </w:pPr>
            <w:r w:rsidRPr="00557D6E">
              <w:rPr>
                <w:rFonts w:ascii="Century Gothic" w:hAnsi="Century Gothic"/>
                <w:b/>
                <w:bCs/>
              </w:rPr>
              <w:t>Item</w:t>
            </w:r>
            <w:r w:rsidRPr="00557D6E">
              <w:rPr>
                <w:rFonts w:ascii="Century Gothic" w:hAnsi="Century Gothic"/>
                <w:b/>
                <w:bCs/>
                <w:spacing w:val="-2"/>
              </w:rPr>
              <w:t xml:space="preserve"> Description</w:t>
            </w:r>
          </w:p>
        </w:tc>
        <w:tc>
          <w:tcPr>
            <w:tcW w:w="446" w:type="pct"/>
          </w:tcPr>
          <w:p w14:paraId="178989B5" w14:textId="77777777" w:rsidR="00371503" w:rsidRPr="00557D6E" w:rsidRDefault="00371503" w:rsidP="000137AD">
            <w:pPr>
              <w:pStyle w:val="TableParagraph"/>
              <w:ind w:left="107"/>
              <w:jc w:val="center"/>
              <w:rPr>
                <w:rFonts w:ascii="Century Gothic" w:hAnsi="Century Gothic"/>
                <w:b/>
                <w:bCs/>
              </w:rPr>
            </w:pPr>
            <w:r w:rsidRPr="00557D6E">
              <w:rPr>
                <w:rFonts w:ascii="Century Gothic" w:hAnsi="Century Gothic"/>
                <w:b/>
                <w:bCs/>
                <w:spacing w:val="-4"/>
              </w:rPr>
              <w:t>Unit</w:t>
            </w:r>
          </w:p>
        </w:tc>
        <w:tc>
          <w:tcPr>
            <w:tcW w:w="598" w:type="pct"/>
          </w:tcPr>
          <w:p w14:paraId="1274B24F" w14:textId="77777777" w:rsidR="00371503" w:rsidRPr="00557D6E" w:rsidRDefault="00371503" w:rsidP="000137AD">
            <w:pPr>
              <w:pStyle w:val="TableParagraph"/>
              <w:ind w:left="8" w:right="97"/>
              <w:jc w:val="center"/>
              <w:rPr>
                <w:rFonts w:ascii="Century Gothic" w:hAnsi="Century Gothic"/>
                <w:b/>
                <w:bCs/>
              </w:rPr>
            </w:pPr>
            <w:r w:rsidRPr="00557D6E">
              <w:rPr>
                <w:rFonts w:ascii="Century Gothic" w:hAnsi="Century Gothic"/>
                <w:b/>
                <w:bCs/>
                <w:spacing w:val="-2"/>
              </w:rPr>
              <w:t>Quantity</w:t>
            </w:r>
          </w:p>
        </w:tc>
        <w:tc>
          <w:tcPr>
            <w:tcW w:w="599" w:type="pct"/>
          </w:tcPr>
          <w:p w14:paraId="21E9341A" w14:textId="77777777" w:rsidR="00371503" w:rsidRPr="00557D6E" w:rsidRDefault="00371503" w:rsidP="000137AD">
            <w:pPr>
              <w:pStyle w:val="TableParagraph"/>
              <w:ind w:left="107"/>
              <w:jc w:val="center"/>
              <w:rPr>
                <w:rFonts w:ascii="Century Gothic" w:hAnsi="Century Gothic"/>
                <w:b/>
                <w:bCs/>
                <w:spacing w:val="-4"/>
              </w:rPr>
            </w:pPr>
            <w:r w:rsidRPr="00557D6E">
              <w:rPr>
                <w:rFonts w:ascii="Century Gothic" w:hAnsi="Century Gothic"/>
                <w:b/>
                <w:bCs/>
                <w:spacing w:val="-4"/>
              </w:rPr>
              <w:t>Rate Rs</w:t>
            </w:r>
          </w:p>
        </w:tc>
        <w:tc>
          <w:tcPr>
            <w:tcW w:w="893" w:type="pct"/>
          </w:tcPr>
          <w:p w14:paraId="0AC17A3C" w14:textId="77777777" w:rsidR="00371503" w:rsidRPr="00557D6E" w:rsidRDefault="00371503" w:rsidP="000137AD">
            <w:pPr>
              <w:pStyle w:val="TableParagraph"/>
              <w:ind w:left="107"/>
              <w:jc w:val="center"/>
              <w:rPr>
                <w:rFonts w:ascii="Century Gothic" w:hAnsi="Century Gothic"/>
                <w:b/>
                <w:bCs/>
                <w:spacing w:val="-4"/>
              </w:rPr>
            </w:pPr>
            <w:r w:rsidRPr="00557D6E">
              <w:rPr>
                <w:rFonts w:ascii="Century Gothic" w:hAnsi="Century Gothic"/>
                <w:b/>
                <w:bCs/>
                <w:spacing w:val="-4"/>
              </w:rPr>
              <w:t>Amount Rs</w:t>
            </w:r>
          </w:p>
          <w:p w14:paraId="0A809427" w14:textId="5413EF64" w:rsidR="000A2A33" w:rsidRPr="00557D6E" w:rsidRDefault="000A2A33" w:rsidP="000137AD">
            <w:pPr>
              <w:pStyle w:val="TableParagraph"/>
              <w:ind w:left="107"/>
              <w:jc w:val="center"/>
              <w:rPr>
                <w:rFonts w:ascii="Century Gothic" w:hAnsi="Century Gothic"/>
                <w:b/>
                <w:bCs/>
                <w:spacing w:val="-4"/>
              </w:rPr>
            </w:pPr>
            <w:r w:rsidRPr="00557D6E">
              <w:rPr>
                <w:rFonts w:ascii="Century Gothic" w:hAnsi="Century Gothic"/>
                <w:b/>
                <w:bCs/>
                <w:spacing w:val="-4"/>
              </w:rPr>
              <w:t>(Including GST)</w:t>
            </w:r>
          </w:p>
        </w:tc>
      </w:tr>
      <w:tr w:rsidR="000137AD" w:rsidRPr="00557D6E" w14:paraId="4F841F7F" w14:textId="77777777" w:rsidTr="000137AD">
        <w:trPr>
          <w:trHeight w:val="805"/>
        </w:trPr>
        <w:tc>
          <w:tcPr>
            <w:tcW w:w="373" w:type="pct"/>
            <w:vAlign w:val="center"/>
          </w:tcPr>
          <w:p w14:paraId="4A491847" w14:textId="071EBBFF" w:rsidR="00D01CD7" w:rsidRPr="00557D6E" w:rsidRDefault="00D01CD7" w:rsidP="00D01CD7">
            <w:pPr>
              <w:pStyle w:val="TableParagraph"/>
              <w:spacing w:line="268" w:lineRule="exact"/>
              <w:ind w:left="6" w:right="1"/>
              <w:jc w:val="center"/>
              <w:rPr>
                <w:rFonts w:ascii="Century Gothic" w:hAnsi="Century Gothic"/>
              </w:rPr>
            </w:pPr>
            <w:r w:rsidRPr="00557D6E">
              <w:rPr>
                <w:rFonts w:ascii="Century Gothic" w:hAnsi="Century Gothic"/>
              </w:rPr>
              <w:t>1.</w:t>
            </w:r>
          </w:p>
        </w:tc>
        <w:tc>
          <w:tcPr>
            <w:tcW w:w="2091" w:type="pct"/>
            <w:vAlign w:val="center"/>
          </w:tcPr>
          <w:p w14:paraId="1FC222C3" w14:textId="3D28FBBC" w:rsidR="00D01CD7" w:rsidRPr="00A30F0E" w:rsidRDefault="00A30F0E" w:rsidP="00915956">
            <w:pPr>
              <w:pStyle w:val="TableParagraph"/>
              <w:spacing w:line="268" w:lineRule="exact"/>
              <w:ind w:left="8"/>
              <w:jc w:val="both"/>
              <w:rPr>
                <w:rFonts w:ascii="Century Gothic" w:hAnsi="Century Gothic"/>
              </w:rPr>
            </w:pPr>
            <w:r w:rsidRPr="00A30F0E">
              <w:t xml:space="preserve">Supplying, filling, spreading, and leveling of supplied murram or any other approved suitable earth/soil for the sports ground, including deployment of a blade tractor for leveling the entire ground wherever undulations exist, and compaction using a 7-ton road roller, over an area of </w:t>
            </w:r>
            <w:r w:rsidRPr="00A30F0E">
              <w:rPr>
                <w:rStyle w:val="Strong"/>
                <w:b w:val="0"/>
                <w:bCs w:val="0"/>
              </w:rPr>
              <w:t>2.66 acres</w:t>
            </w:r>
            <w:r w:rsidRPr="00A30F0E">
              <w:rPr>
                <w:b/>
                <w:bCs/>
              </w:rPr>
              <w:t>.</w:t>
            </w:r>
            <w:r w:rsidRPr="00A30F0E">
              <w:t xml:space="preserve"> The final payment shall be subject to a </w:t>
            </w:r>
            <w:r w:rsidRPr="00A30F0E">
              <w:rPr>
                <w:rStyle w:val="Strong"/>
                <w:b w:val="0"/>
                <w:bCs w:val="0"/>
              </w:rPr>
              <w:t>deduction of 10% towards voids</w:t>
            </w:r>
            <w:r w:rsidRPr="00A30F0E">
              <w:t>, based on the number of received trips and the difference between existing and final levels. All leveling, blading, and rolling works shall be carried out as directed by SPAV authorities.</w:t>
            </w:r>
          </w:p>
        </w:tc>
        <w:tc>
          <w:tcPr>
            <w:tcW w:w="446" w:type="pct"/>
          </w:tcPr>
          <w:p w14:paraId="75BC68C8" w14:textId="51B4762C" w:rsidR="00D01CD7" w:rsidRPr="00557D6E" w:rsidRDefault="00D01CD7" w:rsidP="00D01CD7">
            <w:pPr>
              <w:pStyle w:val="TableParagraph"/>
              <w:spacing w:line="268" w:lineRule="exact"/>
              <w:ind w:right="200"/>
              <w:jc w:val="right"/>
              <w:rPr>
                <w:rFonts w:ascii="Century Gothic" w:hAnsi="Century Gothic"/>
              </w:rPr>
            </w:pPr>
            <w:r w:rsidRPr="00557D6E">
              <w:rPr>
                <w:rFonts w:ascii="Century Gothic" w:hAnsi="Century Gothic"/>
              </w:rPr>
              <w:t>Cum</w:t>
            </w:r>
          </w:p>
        </w:tc>
        <w:tc>
          <w:tcPr>
            <w:tcW w:w="598" w:type="pct"/>
          </w:tcPr>
          <w:p w14:paraId="580CA79B" w14:textId="066E0572" w:rsidR="00D01CD7" w:rsidRPr="00557D6E" w:rsidRDefault="002F1CE0" w:rsidP="00D01CD7">
            <w:pPr>
              <w:pStyle w:val="TableParagraph"/>
              <w:spacing w:line="268" w:lineRule="exact"/>
              <w:ind w:left="8"/>
              <w:jc w:val="center"/>
              <w:rPr>
                <w:rFonts w:ascii="Century Gothic" w:hAnsi="Century Gothic"/>
              </w:rPr>
            </w:pPr>
            <w:r w:rsidRPr="00557D6E">
              <w:rPr>
                <w:rFonts w:ascii="Century Gothic" w:hAnsi="Century Gothic"/>
              </w:rPr>
              <w:t>220</w:t>
            </w:r>
          </w:p>
        </w:tc>
        <w:tc>
          <w:tcPr>
            <w:tcW w:w="599" w:type="pct"/>
          </w:tcPr>
          <w:p w14:paraId="7886D553" w14:textId="77777777" w:rsidR="00D01CD7" w:rsidRPr="00557D6E" w:rsidRDefault="00D01CD7" w:rsidP="00D01CD7">
            <w:pPr>
              <w:pStyle w:val="TableParagraph"/>
              <w:rPr>
                <w:rFonts w:ascii="Century Gothic" w:hAnsi="Century Gothic"/>
              </w:rPr>
            </w:pPr>
          </w:p>
        </w:tc>
        <w:tc>
          <w:tcPr>
            <w:tcW w:w="893" w:type="pct"/>
          </w:tcPr>
          <w:p w14:paraId="67B2C032" w14:textId="77777777" w:rsidR="00D01CD7" w:rsidRPr="00557D6E" w:rsidRDefault="00D01CD7" w:rsidP="00D01CD7">
            <w:pPr>
              <w:pStyle w:val="TableParagraph"/>
              <w:rPr>
                <w:rFonts w:ascii="Century Gothic" w:hAnsi="Century Gothic"/>
              </w:rPr>
            </w:pPr>
          </w:p>
        </w:tc>
      </w:tr>
      <w:tr w:rsidR="000137AD" w:rsidRPr="00557D6E" w14:paraId="5D734B53" w14:textId="77777777" w:rsidTr="000137AD">
        <w:trPr>
          <w:trHeight w:val="805"/>
        </w:trPr>
        <w:tc>
          <w:tcPr>
            <w:tcW w:w="373" w:type="pct"/>
            <w:vAlign w:val="center"/>
          </w:tcPr>
          <w:p w14:paraId="134B4898" w14:textId="568A8A12" w:rsidR="00976961" w:rsidRPr="00557D6E" w:rsidRDefault="00976961" w:rsidP="00D01CD7">
            <w:pPr>
              <w:pStyle w:val="TableParagraph"/>
              <w:spacing w:line="268" w:lineRule="exact"/>
              <w:ind w:left="6" w:right="1"/>
              <w:jc w:val="center"/>
              <w:rPr>
                <w:rFonts w:ascii="Century Gothic" w:hAnsi="Century Gothic"/>
              </w:rPr>
            </w:pPr>
            <w:r w:rsidRPr="00557D6E">
              <w:rPr>
                <w:rFonts w:ascii="Century Gothic" w:hAnsi="Century Gothic"/>
              </w:rPr>
              <w:t>2.</w:t>
            </w:r>
          </w:p>
        </w:tc>
        <w:tc>
          <w:tcPr>
            <w:tcW w:w="2091" w:type="pct"/>
            <w:vAlign w:val="center"/>
          </w:tcPr>
          <w:p w14:paraId="4A2CAFE2" w14:textId="7A8CBB47" w:rsidR="00976961" w:rsidRPr="00557D6E" w:rsidRDefault="00976961" w:rsidP="00915956">
            <w:pPr>
              <w:pStyle w:val="TableParagraph"/>
              <w:spacing w:line="268" w:lineRule="exact"/>
              <w:ind w:left="8"/>
              <w:jc w:val="both"/>
              <w:rPr>
                <w:rFonts w:ascii="Century Gothic" w:hAnsi="Century Gothic"/>
              </w:rPr>
            </w:pPr>
            <w:r w:rsidRPr="00557D6E">
              <w:rPr>
                <w:rFonts w:ascii="Century Gothic" w:hAnsi="Century Gothic"/>
              </w:rPr>
              <w:t>Supply and deployment of JCB for removal of unwanted waste materials, including loading and disposal, and leveling of the area using a tractor, for a period of one day, complete as directed by the SPAV authorities.</w:t>
            </w:r>
          </w:p>
        </w:tc>
        <w:tc>
          <w:tcPr>
            <w:tcW w:w="1643" w:type="pct"/>
            <w:gridSpan w:val="3"/>
          </w:tcPr>
          <w:p w14:paraId="5D549CC3" w14:textId="5AC9130A" w:rsidR="00976961" w:rsidRPr="00557D6E" w:rsidRDefault="00976961" w:rsidP="00D01CD7">
            <w:pPr>
              <w:pStyle w:val="TableParagraph"/>
              <w:rPr>
                <w:rFonts w:ascii="Century Gothic" w:hAnsi="Century Gothic"/>
              </w:rPr>
            </w:pPr>
            <w:r w:rsidRPr="00557D6E">
              <w:rPr>
                <w:rFonts w:ascii="Century Gothic" w:hAnsi="Century Gothic"/>
              </w:rPr>
              <w:t xml:space="preserve">                     L.S</w:t>
            </w:r>
          </w:p>
        </w:tc>
        <w:tc>
          <w:tcPr>
            <w:tcW w:w="893" w:type="pct"/>
          </w:tcPr>
          <w:p w14:paraId="120ED0F7" w14:textId="77777777" w:rsidR="00976961" w:rsidRPr="00557D6E" w:rsidRDefault="00976961" w:rsidP="00D01CD7">
            <w:pPr>
              <w:pStyle w:val="TableParagraph"/>
              <w:rPr>
                <w:rFonts w:ascii="Century Gothic" w:hAnsi="Century Gothic"/>
              </w:rPr>
            </w:pPr>
          </w:p>
        </w:tc>
      </w:tr>
      <w:tr w:rsidR="000137AD" w:rsidRPr="00557D6E" w14:paraId="003D0EF2" w14:textId="77777777" w:rsidTr="000137AD">
        <w:trPr>
          <w:trHeight w:val="805"/>
        </w:trPr>
        <w:tc>
          <w:tcPr>
            <w:tcW w:w="373" w:type="pct"/>
            <w:vAlign w:val="center"/>
          </w:tcPr>
          <w:p w14:paraId="39EF7FB4" w14:textId="6F42D022" w:rsidR="00976961" w:rsidRPr="00557D6E" w:rsidRDefault="00976961" w:rsidP="00D01CD7">
            <w:pPr>
              <w:pStyle w:val="TableParagraph"/>
              <w:spacing w:line="268" w:lineRule="exact"/>
              <w:ind w:left="6" w:right="1"/>
              <w:jc w:val="center"/>
              <w:rPr>
                <w:rFonts w:ascii="Century Gothic" w:hAnsi="Century Gothic"/>
              </w:rPr>
            </w:pPr>
            <w:r w:rsidRPr="00557D6E">
              <w:rPr>
                <w:rFonts w:ascii="Century Gothic" w:hAnsi="Century Gothic"/>
              </w:rPr>
              <w:t>3.</w:t>
            </w:r>
          </w:p>
        </w:tc>
        <w:tc>
          <w:tcPr>
            <w:tcW w:w="2091" w:type="pct"/>
            <w:vAlign w:val="center"/>
          </w:tcPr>
          <w:p w14:paraId="3402EDEA" w14:textId="31CDF435" w:rsidR="00976961" w:rsidRPr="00557D6E" w:rsidRDefault="00557D6E" w:rsidP="004005A3">
            <w:pPr>
              <w:pStyle w:val="TableParagraph"/>
              <w:spacing w:line="268" w:lineRule="exact"/>
              <w:ind w:left="8"/>
              <w:jc w:val="both"/>
              <w:rPr>
                <w:rFonts w:ascii="Century Gothic" w:hAnsi="Century Gothic"/>
              </w:rPr>
            </w:pPr>
            <w:r w:rsidRPr="00557D6E">
              <w:rPr>
                <w:rFonts w:ascii="Century Gothic" w:hAnsi="Century Gothic"/>
              </w:rPr>
              <w:t>Labor</w:t>
            </w:r>
            <w:r w:rsidR="00976961" w:rsidRPr="00557D6E">
              <w:rPr>
                <w:rFonts w:ascii="Century Gothic" w:hAnsi="Century Gothic"/>
              </w:rPr>
              <w:t xml:space="preserve"> charges for fixing of 03 (Three) numbers of light poles, including excavation, concreting, and shifting/erection of poles, complete, all as directed by SPAV authorities.</w:t>
            </w:r>
          </w:p>
        </w:tc>
        <w:tc>
          <w:tcPr>
            <w:tcW w:w="1643" w:type="pct"/>
            <w:gridSpan w:val="3"/>
          </w:tcPr>
          <w:p w14:paraId="73245C64" w14:textId="66CA9183" w:rsidR="00976961" w:rsidRPr="00557D6E" w:rsidRDefault="00976961" w:rsidP="00D01CD7">
            <w:pPr>
              <w:pStyle w:val="TableParagraph"/>
              <w:rPr>
                <w:rFonts w:ascii="Century Gothic" w:hAnsi="Century Gothic"/>
              </w:rPr>
            </w:pPr>
            <w:r w:rsidRPr="00557D6E">
              <w:rPr>
                <w:rFonts w:ascii="Century Gothic" w:hAnsi="Century Gothic"/>
              </w:rPr>
              <w:t xml:space="preserve">                     L.S</w:t>
            </w:r>
          </w:p>
        </w:tc>
        <w:tc>
          <w:tcPr>
            <w:tcW w:w="893" w:type="pct"/>
          </w:tcPr>
          <w:p w14:paraId="54F96FA6" w14:textId="77777777" w:rsidR="00976961" w:rsidRPr="00557D6E" w:rsidRDefault="00976961" w:rsidP="00D01CD7">
            <w:pPr>
              <w:pStyle w:val="TableParagraph"/>
              <w:rPr>
                <w:rFonts w:ascii="Century Gothic" w:hAnsi="Century Gothic"/>
              </w:rPr>
            </w:pPr>
          </w:p>
        </w:tc>
      </w:tr>
    </w:tbl>
    <w:p w14:paraId="7D66341C" w14:textId="77777777" w:rsidR="00371503" w:rsidRPr="00557D6E" w:rsidRDefault="00371503" w:rsidP="00371503">
      <w:pPr>
        <w:pStyle w:val="BodyText"/>
        <w:rPr>
          <w:rFonts w:ascii="Century Gothic" w:hAnsi="Century Gothic"/>
          <w:b/>
        </w:rPr>
      </w:pPr>
    </w:p>
    <w:p w14:paraId="59B4D595" w14:textId="6886F85A" w:rsidR="00371503" w:rsidRPr="00557D6E" w:rsidRDefault="00371503" w:rsidP="000A2A33">
      <w:pPr>
        <w:pStyle w:val="BodyText"/>
        <w:spacing w:before="1"/>
        <w:ind w:right="12"/>
        <w:jc w:val="both"/>
        <w:rPr>
          <w:rFonts w:ascii="Century Gothic" w:hAnsi="Century Gothic"/>
        </w:rPr>
      </w:pPr>
      <w:r w:rsidRPr="00557D6E">
        <w:rPr>
          <w:rFonts w:ascii="Century Gothic" w:hAnsi="Century Gothic"/>
        </w:rPr>
        <w:t xml:space="preserve">The Sealed quotations are to be submitted up to </w:t>
      </w:r>
      <w:r w:rsidRPr="00557D6E">
        <w:rPr>
          <w:rFonts w:ascii="Century Gothic" w:hAnsi="Century Gothic"/>
          <w:b/>
        </w:rPr>
        <w:t>15:00</w:t>
      </w:r>
      <w:r w:rsidR="00557D6E" w:rsidRPr="00557D6E">
        <w:rPr>
          <w:rFonts w:ascii="Century Gothic" w:hAnsi="Century Gothic"/>
          <w:b/>
        </w:rPr>
        <w:t xml:space="preserve"> </w:t>
      </w:r>
      <w:r w:rsidRPr="00557D6E">
        <w:rPr>
          <w:rFonts w:ascii="Century Gothic" w:hAnsi="Century Gothic"/>
          <w:b/>
        </w:rPr>
        <w:t xml:space="preserve">Hrs. on or before </w:t>
      </w:r>
      <w:r w:rsidR="002F1CE0" w:rsidRPr="00557D6E">
        <w:rPr>
          <w:rFonts w:ascii="Century Gothic" w:hAnsi="Century Gothic"/>
          <w:b/>
        </w:rPr>
        <w:t>1</w:t>
      </w:r>
      <w:r w:rsidR="00557D6E" w:rsidRPr="00557D6E">
        <w:rPr>
          <w:rFonts w:ascii="Century Gothic" w:hAnsi="Century Gothic"/>
          <w:b/>
        </w:rPr>
        <w:t>7</w:t>
      </w:r>
      <w:r w:rsidR="007B084A" w:rsidRPr="00557D6E">
        <w:rPr>
          <w:rFonts w:ascii="Century Gothic" w:hAnsi="Century Gothic"/>
          <w:b/>
        </w:rPr>
        <w:t>.0</w:t>
      </w:r>
      <w:r w:rsidR="002F1CE0" w:rsidRPr="00557D6E">
        <w:rPr>
          <w:rFonts w:ascii="Century Gothic" w:hAnsi="Century Gothic"/>
          <w:b/>
        </w:rPr>
        <w:t>2</w:t>
      </w:r>
      <w:r w:rsidR="007B084A" w:rsidRPr="00557D6E">
        <w:rPr>
          <w:rFonts w:ascii="Century Gothic" w:hAnsi="Century Gothic"/>
          <w:b/>
        </w:rPr>
        <w:t>.202</w:t>
      </w:r>
      <w:r w:rsidR="002F1CE0" w:rsidRPr="00557D6E">
        <w:rPr>
          <w:rFonts w:ascii="Century Gothic" w:hAnsi="Century Gothic"/>
          <w:b/>
        </w:rPr>
        <w:t>6</w:t>
      </w:r>
      <w:r w:rsidRPr="00557D6E">
        <w:rPr>
          <w:rFonts w:ascii="Century Gothic" w:hAnsi="Century Gothic"/>
        </w:rPr>
        <w:t>. The quotations will</w:t>
      </w:r>
      <w:r w:rsidRPr="00557D6E">
        <w:rPr>
          <w:rFonts w:ascii="Century Gothic" w:hAnsi="Century Gothic"/>
          <w:spacing w:val="40"/>
        </w:rPr>
        <w:t xml:space="preserve"> </w:t>
      </w:r>
      <w:r w:rsidRPr="00557D6E">
        <w:rPr>
          <w:rFonts w:ascii="Century Gothic" w:hAnsi="Century Gothic"/>
        </w:rPr>
        <w:t>be opened on the same</w:t>
      </w:r>
      <w:r w:rsidRPr="00557D6E">
        <w:rPr>
          <w:rFonts w:ascii="Century Gothic" w:hAnsi="Century Gothic"/>
          <w:spacing w:val="-2"/>
        </w:rPr>
        <w:t xml:space="preserve"> </w:t>
      </w:r>
      <w:r w:rsidRPr="00557D6E">
        <w:rPr>
          <w:rFonts w:ascii="Century Gothic" w:hAnsi="Century Gothic"/>
        </w:rPr>
        <w:t xml:space="preserve">day at </w:t>
      </w:r>
      <w:r w:rsidRPr="00557D6E">
        <w:rPr>
          <w:rFonts w:ascii="Century Gothic" w:hAnsi="Century Gothic"/>
          <w:b/>
        </w:rPr>
        <w:t>15:30 hrs</w:t>
      </w:r>
      <w:r w:rsidRPr="00557D6E">
        <w:rPr>
          <w:rFonts w:ascii="Century Gothic" w:hAnsi="Century Gothic"/>
        </w:rPr>
        <w:t>. The NIQ</w:t>
      </w:r>
      <w:r w:rsidR="000A25A7">
        <w:rPr>
          <w:rFonts w:ascii="Century Gothic" w:hAnsi="Century Gothic"/>
        </w:rPr>
        <w:t>,</w:t>
      </w:r>
      <w:r w:rsidRPr="00557D6E">
        <w:rPr>
          <w:rFonts w:ascii="Century Gothic" w:hAnsi="Century Gothic"/>
        </w:rPr>
        <w:t xml:space="preserve"> along with terms and conditions</w:t>
      </w:r>
      <w:r w:rsidR="00915956" w:rsidRPr="00557D6E">
        <w:rPr>
          <w:rFonts w:ascii="Century Gothic" w:hAnsi="Century Gothic"/>
        </w:rPr>
        <w:t>,</w:t>
      </w:r>
      <w:r w:rsidRPr="00557D6E">
        <w:rPr>
          <w:rFonts w:ascii="Century Gothic" w:hAnsi="Century Gothic"/>
        </w:rPr>
        <w:t xml:space="preserve"> can be obtained from our website in the tender section at </w:t>
      </w:r>
      <w:hyperlink r:id="rId7">
        <w:r w:rsidRPr="00557D6E">
          <w:rPr>
            <w:rFonts w:ascii="Century Gothic" w:hAnsi="Century Gothic"/>
            <w:spacing w:val="-2"/>
          </w:rPr>
          <w:t>www.spav.ac.in.</w:t>
        </w:r>
      </w:hyperlink>
    </w:p>
    <w:p w14:paraId="09729F02" w14:textId="77777777" w:rsidR="00371503" w:rsidRPr="00557D6E" w:rsidRDefault="00371503" w:rsidP="00371503">
      <w:pPr>
        <w:pStyle w:val="BodyText"/>
        <w:rPr>
          <w:rFonts w:ascii="Century Gothic" w:hAnsi="Century Gothic"/>
        </w:rPr>
      </w:pPr>
    </w:p>
    <w:p w14:paraId="0D4AB618" w14:textId="175CA3C2" w:rsidR="00371503" w:rsidRPr="00557D6E" w:rsidRDefault="00371503" w:rsidP="000A2A33">
      <w:pPr>
        <w:pStyle w:val="Heading1"/>
        <w:ind w:left="0"/>
        <w:jc w:val="both"/>
        <w:rPr>
          <w:rFonts w:ascii="Century Gothic" w:hAnsi="Century Gothic"/>
          <w:spacing w:val="-2"/>
        </w:rPr>
      </w:pPr>
      <w:r w:rsidRPr="00557D6E">
        <w:rPr>
          <w:rFonts w:ascii="Century Gothic" w:hAnsi="Century Gothic"/>
        </w:rPr>
        <w:lastRenderedPageBreak/>
        <w:t>Terms</w:t>
      </w:r>
      <w:r w:rsidRPr="00557D6E">
        <w:rPr>
          <w:rFonts w:ascii="Century Gothic" w:hAnsi="Century Gothic"/>
          <w:spacing w:val="-2"/>
        </w:rPr>
        <w:t xml:space="preserve"> </w:t>
      </w:r>
      <w:r w:rsidRPr="00557D6E">
        <w:rPr>
          <w:rFonts w:ascii="Century Gothic" w:hAnsi="Century Gothic"/>
        </w:rPr>
        <w:t>&amp;</w:t>
      </w:r>
      <w:r w:rsidRPr="00557D6E">
        <w:rPr>
          <w:rFonts w:ascii="Century Gothic" w:hAnsi="Century Gothic"/>
          <w:spacing w:val="-4"/>
        </w:rPr>
        <w:t xml:space="preserve"> </w:t>
      </w:r>
      <w:r w:rsidRPr="00557D6E">
        <w:rPr>
          <w:rFonts w:ascii="Century Gothic" w:hAnsi="Century Gothic"/>
          <w:spacing w:val="-2"/>
        </w:rPr>
        <w:t>Conditions:</w:t>
      </w:r>
    </w:p>
    <w:p w14:paraId="46F8BAE8" w14:textId="02C76D08" w:rsidR="00130789" w:rsidRPr="00557D6E" w:rsidRDefault="000A2A33" w:rsidP="00557D6E">
      <w:pPr>
        <w:spacing w:after="0" w:line="240" w:lineRule="auto"/>
        <w:jc w:val="both"/>
        <w:rPr>
          <w:rFonts w:ascii="Century Gothic" w:eastAsia="Times New Roman" w:hAnsi="Century Gothic" w:cs="Times New Roman"/>
        </w:rPr>
      </w:pPr>
      <w:r w:rsidRPr="00557D6E">
        <w:rPr>
          <w:rFonts w:ascii="Century Gothic" w:eastAsia="Times New Roman" w:hAnsi="Century Gothic" w:cs="Times New Roman"/>
        </w:rPr>
        <w:t>1. The sealed covers should be superscribed with the name of the work and the address of the agency quoting rates, addressed to "The Registrar, School of Planning and Architecture, Vijayawada</w:t>
      </w:r>
      <w:r w:rsidR="00815FF7" w:rsidRPr="00557D6E">
        <w:rPr>
          <w:rFonts w:ascii="Century Gothic" w:eastAsia="Times New Roman" w:hAnsi="Century Gothic" w:cs="Times New Roman"/>
        </w:rPr>
        <w:t>.</w:t>
      </w:r>
      <w:r w:rsidRPr="00557D6E">
        <w:rPr>
          <w:rFonts w:ascii="Century Gothic" w:eastAsia="Times New Roman" w:hAnsi="Century Gothic" w:cs="Times New Roman"/>
        </w:rPr>
        <w:t>"</w:t>
      </w:r>
    </w:p>
    <w:p w14:paraId="24E81AF3" w14:textId="105B7517"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 xml:space="preserve">2. </w:t>
      </w:r>
      <w:r w:rsidR="000A2A33" w:rsidRPr="00557D6E">
        <w:rPr>
          <w:rFonts w:ascii="Century Gothic" w:eastAsia="Times New Roman" w:hAnsi="Century Gothic" w:cs="Times New Roman"/>
        </w:rPr>
        <w:t xml:space="preserve">Blank NIQ documents for quoting rates can be downloaded from the Institute website: </w:t>
      </w:r>
      <w:hyperlink r:id="rId8" w:history="1">
        <w:r w:rsidRPr="00557D6E">
          <w:rPr>
            <w:rStyle w:val="Hyperlink"/>
            <w:rFonts w:ascii="Century Gothic" w:eastAsia="Times New Roman" w:hAnsi="Century Gothic" w:cs="Times New Roman"/>
          </w:rPr>
          <w:t>https://www.spav.ac.in/Tenders</w:t>
        </w:r>
      </w:hyperlink>
      <w:r w:rsidR="000A2A33" w:rsidRPr="00557D6E">
        <w:rPr>
          <w:rFonts w:ascii="Century Gothic" w:eastAsia="Times New Roman" w:hAnsi="Century Gothic" w:cs="Times New Roman"/>
        </w:rPr>
        <w:t>.</w:t>
      </w:r>
    </w:p>
    <w:p w14:paraId="42DAD284" w14:textId="0D8298FB"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 xml:space="preserve">3. </w:t>
      </w:r>
      <w:r w:rsidR="000A2A33" w:rsidRPr="00557D6E">
        <w:rPr>
          <w:rFonts w:ascii="Century Gothic" w:eastAsia="Times New Roman" w:hAnsi="Century Gothic" w:cs="Times New Roman"/>
        </w:rPr>
        <w:t xml:space="preserve">The work should be initiated and completed by the vendor within </w:t>
      </w:r>
      <w:r w:rsidR="000A2A33" w:rsidRPr="00711211">
        <w:rPr>
          <w:rFonts w:ascii="Century Gothic" w:eastAsia="Times New Roman" w:hAnsi="Century Gothic" w:cs="Times New Roman"/>
        </w:rPr>
        <w:t>15 (fifteen) days</w:t>
      </w:r>
      <w:r w:rsidR="000A2A33" w:rsidRPr="00557D6E">
        <w:rPr>
          <w:rFonts w:ascii="Century Gothic" w:eastAsia="Times New Roman" w:hAnsi="Century Gothic" w:cs="Times New Roman"/>
        </w:rPr>
        <w:t xml:space="preserve"> from the issue of the work order</w:t>
      </w:r>
    </w:p>
    <w:p w14:paraId="55756D21" w14:textId="100F1FBC"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4 Specifications</w:t>
      </w:r>
      <w:r w:rsidR="000A2A33" w:rsidRPr="00557D6E">
        <w:rPr>
          <w:rFonts w:ascii="Century Gothic" w:eastAsia="Times New Roman" w:hAnsi="Century Gothic" w:cs="Times New Roman"/>
        </w:rPr>
        <w:t xml:space="preserve"> for the work to be carried out as per the BOQ and CPWD norms.</w:t>
      </w:r>
    </w:p>
    <w:p w14:paraId="6956E07C" w14:textId="3C8BCEB2"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 xml:space="preserve">5. </w:t>
      </w:r>
      <w:r w:rsidR="000A2A33" w:rsidRPr="00557D6E">
        <w:rPr>
          <w:rFonts w:ascii="Century Gothic" w:eastAsia="Times New Roman" w:hAnsi="Century Gothic" w:cs="Times New Roman"/>
        </w:rPr>
        <w:t>Rates shall be inclusive of all applicable taxes, expenses, and responsibilities as stated above, and no extra payments will be made.</w:t>
      </w:r>
    </w:p>
    <w:p w14:paraId="51E6C977" w14:textId="2A4F897D"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6.</w:t>
      </w:r>
      <w:r w:rsidR="000A2A33" w:rsidRPr="00557D6E">
        <w:rPr>
          <w:rFonts w:ascii="Century Gothic" w:eastAsia="Times New Roman" w:hAnsi="Century Gothic" w:cs="Times New Roman"/>
        </w:rPr>
        <w:t>No advance payment shall be made</w:t>
      </w:r>
    </w:p>
    <w:p w14:paraId="3D65AFA8" w14:textId="77777777" w:rsidR="00130789" w:rsidRPr="00557D6E" w:rsidRDefault="00130789" w:rsidP="000A2A33">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7</w:t>
      </w:r>
      <w:r w:rsidR="000A2A33" w:rsidRPr="00557D6E">
        <w:rPr>
          <w:rFonts w:ascii="Century Gothic" w:eastAsia="Times New Roman" w:hAnsi="Century Gothic" w:cs="Times New Roman"/>
        </w:rPr>
        <w:t>. Sealed quotations must be submitted with a covering letter (neatly typed) on the contractor’s letterhead.</w:t>
      </w:r>
    </w:p>
    <w:p w14:paraId="23F5B436" w14:textId="3688439D" w:rsidR="00130789" w:rsidRPr="00557D6E" w:rsidRDefault="00130789" w:rsidP="00130789">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8.</w:t>
      </w:r>
      <w:r w:rsidR="000A2A33" w:rsidRPr="00557D6E">
        <w:rPr>
          <w:rFonts w:ascii="Century Gothic" w:eastAsia="Times New Roman" w:hAnsi="Century Gothic" w:cs="Times New Roman"/>
        </w:rPr>
        <w:t xml:space="preserve"> The contractor should clearly mention the name of the work, </w:t>
      </w:r>
      <w:r w:rsidR="000137AD" w:rsidRPr="00557D6E">
        <w:rPr>
          <w:rFonts w:ascii="Century Gothic" w:eastAsia="Times New Roman" w:hAnsi="Century Gothic" w:cs="Times New Roman"/>
        </w:rPr>
        <w:t xml:space="preserve">the </w:t>
      </w:r>
      <w:r w:rsidR="000A2A33" w:rsidRPr="00557D6E">
        <w:rPr>
          <w:rFonts w:ascii="Century Gothic" w:eastAsia="Times New Roman" w:hAnsi="Century Gothic" w:cs="Times New Roman"/>
        </w:rPr>
        <w:t>address of the agency, PAN, and GST Number on their letterhead.</w:t>
      </w:r>
    </w:p>
    <w:p w14:paraId="3D59EA44" w14:textId="1116E241" w:rsidR="000A2A33" w:rsidRDefault="00130789" w:rsidP="00130789">
      <w:pPr>
        <w:spacing w:after="0" w:line="240" w:lineRule="auto"/>
        <w:rPr>
          <w:rFonts w:ascii="Century Gothic" w:eastAsia="Times New Roman" w:hAnsi="Century Gothic" w:cs="Times New Roman"/>
        </w:rPr>
      </w:pPr>
      <w:r w:rsidRPr="00557D6E">
        <w:rPr>
          <w:rFonts w:ascii="Century Gothic" w:eastAsia="Times New Roman" w:hAnsi="Century Gothic" w:cs="Times New Roman"/>
        </w:rPr>
        <w:t>9.</w:t>
      </w:r>
      <w:r w:rsidR="000A2A33" w:rsidRPr="00557D6E">
        <w:rPr>
          <w:rFonts w:ascii="Century Gothic" w:eastAsia="Times New Roman" w:hAnsi="Century Gothic" w:cs="Times New Roman"/>
        </w:rPr>
        <w:t xml:space="preserve"> The competent authority reserves the right to accept or reject the whole or part of the quotations.</w:t>
      </w:r>
    </w:p>
    <w:p w14:paraId="35F2A10B" w14:textId="3D40AF1D" w:rsidR="00F64B91" w:rsidRDefault="00F64B91" w:rsidP="00F64B91">
      <w:pPr>
        <w:spacing w:after="0" w:line="240" w:lineRule="auto"/>
        <w:jc w:val="both"/>
        <w:rPr>
          <w:rFonts w:ascii="Century Gothic" w:eastAsia="Times New Roman" w:hAnsi="Century Gothic" w:cs="Times New Roman"/>
        </w:rPr>
      </w:pPr>
      <w:r>
        <w:rPr>
          <w:rFonts w:ascii="Century Gothic" w:eastAsia="Times New Roman" w:hAnsi="Century Gothic" w:cs="Times New Roman"/>
        </w:rPr>
        <w:t xml:space="preserve">10. </w:t>
      </w:r>
      <w:r w:rsidRPr="00F64B91">
        <w:rPr>
          <w:rFonts w:ascii="Century Gothic" w:eastAsia="Times New Roman" w:hAnsi="Century Gothic" w:cs="Times New Roman"/>
        </w:rPr>
        <w:t>For Item No. 1, the final payment shall be made based on the actual quantity of material received and measured, subject to a deduction of 10% towards voids, worked out based on the number of trips received and the difference between existing and final ground levels, as certified by SPAV authorities. The decision of SPAV authorities shall be final and binding</w:t>
      </w:r>
      <w:r>
        <w:rPr>
          <w:rFonts w:ascii="Century Gothic" w:eastAsia="Times New Roman" w:hAnsi="Century Gothic" w:cs="Times New Roman"/>
        </w:rPr>
        <w:t>.</w:t>
      </w:r>
    </w:p>
    <w:p w14:paraId="6DC49C97" w14:textId="77777777" w:rsidR="00F64B91" w:rsidRDefault="00F64B91" w:rsidP="00130789">
      <w:pPr>
        <w:spacing w:after="0" w:line="240" w:lineRule="auto"/>
        <w:rPr>
          <w:rFonts w:ascii="Century Gothic" w:eastAsia="Times New Roman" w:hAnsi="Century Gothic" w:cs="Times New Roman"/>
        </w:rPr>
      </w:pPr>
    </w:p>
    <w:p w14:paraId="49D3D869" w14:textId="77777777" w:rsidR="00F64B91" w:rsidRPr="00557D6E" w:rsidRDefault="00F64B91" w:rsidP="00130789">
      <w:pPr>
        <w:spacing w:after="0" w:line="240" w:lineRule="auto"/>
        <w:rPr>
          <w:rFonts w:ascii="Century Gothic" w:eastAsia="Times New Roman" w:hAnsi="Century Gothic" w:cs="Times New Roman"/>
        </w:rPr>
      </w:pPr>
    </w:p>
    <w:p w14:paraId="5802FA41" w14:textId="72A1679A" w:rsidR="000A2A33" w:rsidRPr="00557D6E" w:rsidRDefault="000A2A33" w:rsidP="000A2A33">
      <w:pPr>
        <w:pStyle w:val="Heading1"/>
        <w:ind w:left="0"/>
        <w:jc w:val="both"/>
        <w:rPr>
          <w:rFonts w:ascii="Century Gothic" w:hAnsi="Century Gothic"/>
          <w:spacing w:val="-2"/>
        </w:rPr>
      </w:pPr>
    </w:p>
    <w:p w14:paraId="35107AE1" w14:textId="5446CDFF" w:rsidR="00915956" w:rsidRPr="00557D6E" w:rsidRDefault="00915956" w:rsidP="000A2A33">
      <w:pPr>
        <w:pStyle w:val="Heading1"/>
        <w:ind w:left="0"/>
        <w:jc w:val="both"/>
        <w:rPr>
          <w:rFonts w:ascii="Century Gothic" w:hAnsi="Century Gothic"/>
          <w:spacing w:val="-2"/>
        </w:rPr>
      </w:pPr>
    </w:p>
    <w:p w14:paraId="3B599BAF" w14:textId="4F03BA5D" w:rsidR="00915956" w:rsidRDefault="00915956" w:rsidP="000A2A33">
      <w:pPr>
        <w:pStyle w:val="Heading1"/>
        <w:ind w:left="0"/>
        <w:jc w:val="both"/>
        <w:rPr>
          <w:rFonts w:ascii="Century Gothic" w:hAnsi="Century Gothic"/>
          <w:spacing w:val="-2"/>
        </w:rPr>
      </w:pPr>
    </w:p>
    <w:p w14:paraId="5D115C26" w14:textId="77777777" w:rsidR="005F0771" w:rsidRPr="00557D6E" w:rsidRDefault="005F0771" w:rsidP="000A2A33">
      <w:pPr>
        <w:pStyle w:val="Heading1"/>
        <w:ind w:left="0"/>
        <w:jc w:val="both"/>
        <w:rPr>
          <w:rFonts w:ascii="Century Gothic" w:hAnsi="Century Gothic"/>
          <w:spacing w:val="-2"/>
        </w:rPr>
      </w:pPr>
    </w:p>
    <w:p w14:paraId="1C25E4BD" w14:textId="77777777" w:rsidR="00130789" w:rsidRPr="00557D6E" w:rsidRDefault="00130789" w:rsidP="00130789">
      <w:pPr>
        <w:spacing w:before="21"/>
        <w:ind w:left="20"/>
        <w:jc w:val="right"/>
        <w:rPr>
          <w:rFonts w:ascii="Century Gothic" w:hAnsi="Century Gothic"/>
          <w:b/>
        </w:rPr>
      </w:pPr>
      <w:r w:rsidRPr="00557D6E">
        <w:rPr>
          <w:rFonts w:ascii="Century Gothic" w:hAnsi="Century Gothic"/>
          <w:b/>
        </w:rPr>
        <w:t>Contractor</w:t>
      </w:r>
      <w:r w:rsidRPr="00557D6E">
        <w:rPr>
          <w:rFonts w:ascii="Century Gothic" w:hAnsi="Century Gothic"/>
          <w:b/>
          <w:spacing w:val="-4"/>
        </w:rPr>
        <w:t xml:space="preserve"> </w:t>
      </w:r>
      <w:r w:rsidRPr="00557D6E">
        <w:rPr>
          <w:rFonts w:ascii="Century Gothic" w:hAnsi="Century Gothic"/>
          <w:b/>
        </w:rPr>
        <w:t>Sign</w:t>
      </w:r>
      <w:r w:rsidRPr="00557D6E">
        <w:rPr>
          <w:rFonts w:ascii="Century Gothic" w:hAnsi="Century Gothic"/>
          <w:b/>
          <w:spacing w:val="-4"/>
        </w:rPr>
        <w:t xml:space="preserve"> </w:t>
      </w:r>
      <w:r w:rsidRPr="00557D6E">
        <w:rPr>
          <w:rFonts w:ascii="Century Gothic" w:hAnsi="Century Gothic"/>
          <w:b/>
        </w:rPr>
        <w:t>with</w:t>
      </w:r>
      <w:r w:rsidRPr="00557D6E">
        <w:rPr>
          <w:rFonts w:ascii="Century Gothic" w:hAnsi="Century Gothic"/>
          <w:b/>
          <w:spacing w:val="-5"/>
        </w:rPr>
        <w:t xml:space="preserve"> </w:t>
      </w:r>
      <w:r w:rsidRPr="00557D6E">
        <w:rPr>
          <w:rFonts w:ascii="Century Gothic" w:hAnsi="Century Gothic"/>
          <w:b/>
        </w:rPr>
        <w:t>Name</w:t>
      </w:r>
      <w:r w:rsidRPr="00557D6E">
        <w:rPr>
          <w:rFonts w:ascii="Century Gothic" w:hAnsi="Century Gothic"/>
          <w:b/>
          <w:spacing w:val="-4"/>
        </w:rPr>
        <w:t xml:space="preserve"> </w:t>
      </w:r>
      <w:r w:rsidRPr="00557D6E">
        <w:rPr>
          <w:rFonts w:ascii="Century Gothic" w:hAnsi="Century Gothic"/>
          <w:b/>
        </w:rPr>
        <w:t>&amp;</w:t>
      </w:r>
      <w:r w:rsidRPr="00557D6E">
        <w:rPr>
          <w:rFonts w:ascii="Century Gothic" w:hAnsi="Century Gothic"/>
          <w:b/>
          <w:spacing w:val="-5"/>
        </w:rPr>
        <w:t xml:space="preserve"> </w:t>
      </w:r>
      <w:r w:rsidRPr="00557D6E">
        <w:rPr>
          <w:rFonts w:ascii="Century Gothic" w:hAnsi="Century Gothic"/>
          <w:b/>
          <w:spacing w:val="-2"/>
        </w:rPr>
        <w:t>Address</w:t>
      </w:r>
    </w:p>
    <w:sectPr w:rsidR="00130789" w:rsidRPr="00557D6E" w:rsidSect="000D2565">
      <w:headerReference w:type="default" r:id="rId9"/>
      <w:footerReference w:type="default" r:id="rId10"/>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F4DCE" w14:textId="77777777" w:rsidR="00B852AF" w:rsidRDefault="00B852AF" w:rsidP="00B745F2">
      <w:pPr>
        <w:spacing w:after="0" w:line="240" w:lineRule="auto"/>
      </w:pPr>
      <w:r>
        <w:separator/>
      </w:r>
    </w:p>
  </w:endnote>
  <w:endnote w:type="continuationSeparator" w:id="0">
    <w:p w14:paraId="506427A4" w14:textId="77777777" w:rsidR="00B852AF" w:rsidRDefault="00B852AF"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255604">
    <w:pPr>
      <w:spacing w:after="0" w:line="240" w:lineRule="auto"/>
      <w:jc w:val="center"/>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A51A0" w14:textId="77777777" w:rsidR="00B852AF" w:rsidRDefault="00B852AF" w:rsidP="00B745F2">
      <w:pPr>
        <w:spacing w:after="0" w:line="240" w:lineRule="auto"/>
      </w:pPr>
      <w:r>
        <w:separator/>
      </w:r>
    </w:p>
  </w:footnote>
  <w:footnote w:type="continuationSeparator" w:id="0">
    <w:p w14:paraId="283EDD7B" w14:textId="77777777" w:rsidR="00B852AF" w:rsidRDefault="00B852AF"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915C9A"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915C9A"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60F0E"/>
    <w:multiLevelType w:val="hybridMultilevel"/>
    <w:tmpl w:val="8A348F08"/>
    <w:lvl w:ilvl="0" w:tplc="C172D532">
      <w:start w:val="1"/>
      <w:numFmt w:val="decimal"/>
      <w:lvlText w:val="%1."/>
      <w:lvlJc w:val="left"/>
      <w:pPr>
        <w:ind w:left="1020" w:hanging="360"/>
      </w:pPr>
      <w:rPr>
        <w:rFonts w:ascii="Arial MT" w:eastAsia="Arial MT" w:hAnsi="Arial MT" w:cs="Arial MT" w:hint="default"/>
        <w:b w:val="0"/>
        <w:bCs w:val="0"/>
        <w:i w:val="0"/>
        <w:iCs w:val="0"/>
        <w:spacing w:val="-1"/>
        <w:w w:val="100"/>
        <w:sz w:val="22"/>
        <w:szCs w:val="22"/>
        <w:lang w:val="en-US" w:eastAsia="en-US" w:bidi="ar-SA"/>
      </w:rPr>
    </w:lvl>
    <w:lvl w:ilvl="1" w:tplc="56149694">
      <w:numFmt w:val="bullet"/>
      <w:lvlText w:val="•"/>
      <w:lvlJc w:val="left"/>
      <w:pPr>
        <w:ind w:left="1998" w:hanging="360"/>
      </w:pPr>
      <w:rPr>
        <w:rFonts w:hint="default"/>
        <w:lang w:val="en-US" w:eastAsia="en-US" w:bidi="ar-SA"/>
      </w:rPr>
    </w:lvl>
    <w:lvl w:ilvl="2" w:tplc="189C8420">
      <w:numFmt w:val="bullet"/>
      <w:lvlText w:val="•"/>
      <w:lvlJc w:val="left"/>
      <w:pPr>
        <w:ind w:left="2976" w:hanging="360"/>
      </w:pPr>
      <w:rPr>
        <w:rFonts w:hint="default"/>
        <w:lang w:val="en-US" w:eastAsia="en-US" w:bidi="ar-SA"/>
      </w:rPr>
    </w:lvl>
    <w:lvl w:ilvl="3" w:tplc="37F87BD8">
      <w:numFmt w:val="bullet"/>
      <w:lvlText w:val="•"/>
      <w:lvlJc w:val="left"/>
      <w:pPr>
        <w:ind w:left="3954" w:hanging="360"/>
      </w:pPr>
      <w:rPr>
        <w:rFonts w:hint="default"/>
        <w:lang w:val="en-US" w:eastAsia="en-US" w:bidi="ar-SA"/>
      </w:rPr>
    </w:lvl>
    <w:lvl w:ilvl="4" w:tplc="B00C47DA">
      <w:numFmt w:val="bullet"/>
      <w:lvlText w:val="•"/>
      <w:lvlJc w:val="left"/>
      <w:pPr>
        <w:ind w:left="4932" w:hanging="360"/>
      </w:pPr>
      <w:rPr>
        <w:rFonts w:hint="default"/>
        <w:lang w:val="en-US" w:eastAsia="en-US" w:bidi="ar-SA"/>
      </w:rPr>
    </w:lvl>
    <w:lvl w:ilvl="5" w:tplc="0BF40F2C">
      <w:numFmt w:val="bullet"/>
      <w:lvlText w:val="•"/>
      <w:lvlJc w:val="left"/>
      <w:pPr>
        <w:ind w:left="5910" w:hanging="360"/>
      </w:pPr>
      <w:rPr>
        <w:rFonts w:hint="default"/>
        <w:lang w:val="en-US" w:eastAsia="en-US" w:bidi="ar-SA"/>
      </w:rPr>
    </w:lvl>
    <w:lvl w:ilvl="6" w:tplc="70FABF26">
      <w:numFmt w:val="bullet"/>
      <w:lvlText w:val="•"/>
      <w:lvlJc w:val="left"/>
      <w:pPr>
        <w:ind w:left="6888" w:hanging="360"/>
      </w:pPr>
      <w:rPr>
        <w:rFonts w:hint="default"/>
        <w:lang w:val="en-US" w:eastAsia="en-US" w:bidi="ar-SA"/>
      </w:rPr>
    </w:lvl>
    <w:lvl w:ilvl="7" w:tplc="C1F439B6">
      <w:numFmt w:val="bullet"/>
      <w:lvlText w:val="•"/>
      <w:lvlJc w:val="left"/>
      <w:pPr>
        <w:ind w:left="7866" w:hanging="360"/>
      </w:pPr>
      <w:rPr>
        <w:rFonts w:hint="default"/>
        <w:lang w:val="en-US" w:eastAsia="en-US" w:bidi="ar-SA"/>
      </w:rPr>
    </w:lvl>
    <w:lvl w:ilvl="8" w:tplc="8E365A20">
      <w:numFmt w:val="bullet"/>
      <w:lvlText w:val="•"/>
      <w:lvlJc w:val="left"/>
      <w:pPr>
        <w:ind w:left="8844" w:hanging="360"/>
      </w:pPr>
      <w:rPr>
        <w:rFonts w:hint="default"/>
        <w:lang w:val="en-US" w:eastAsia="en-US" w:bidi="ar-SA"/>
      </w:rPr>
    </w:lvl>
  </w:abstractNum>
  <w:abstractNum w:abstractNumId="1"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45F2"/>
    <w:rsid w:val="000137AD"/>
    <w:rsid w:val="000206D6"/>
    <w:rsid w:val="00093389"/>
    <w:rsid w:val="000A25A7"/>
    <w:rsid w:val="000A2A33"/>
    <w:rsid w:val="000D2565"/>
    <w:rsid w:val="000F7B18"/>
    <w:rsid w:val="00130789"/>
    <w:rsid w:val="00132B28"/>
    <w:rsid w:val="00194A42"/>
    <w:rsid w:val="001B51FB"/>
    <w:rsid w:val="00255604"/>
    <w:rsid w:val="00266451"/>
    <w:rsid w:val="0027246A"/>
    <w:rsid w:val="00276C95"/>
    <w:rsid w:val="002F1CE0"/>
    <w:rsid w:val="00364B59"/>
    <w:rsid w:val="00371503"/>
    <w:rsid w:val="00371FD1"/>
    <w:rsid w:val="00373EFE"/>
    <w:rsid w:val="003B3B73"/>
    <w:rsid w:val="003E3F2F"/>
    <w:rsid w:val="004005A3"/>
    <w:rsid w:val="004254A7"/>
    <w:rsid w:val="00444DA0"/>
    <w:rsid w:val="004C03CD"/>
    <w:rsid w:val="00513CF0"/>
    <w:rsid w:val="0051552B"/>
    <w:rsid w:val="0053252C"/>
    <w:rsid w:val="00557D6E"/>
    <w:rsid w:val="005B69EF"/>
    <w:rsid w:val="005C19A5"/>
    <w:rsid w:val="005F0771"/>
    <w:rsid w:val="00600B35"/>
    <w:rsid w:val="00603981"/>
    <w:rsid w:val="00626766"/>
    <w:rsid w:val="00627B40"/>
    <w:rsid w:val="006328BB"/>
    <w:rsid w:val="006565C1"/>
    <w:rsid w:val="0067166B"/>
    <w:rsid w:val="00711211"/>
    <w:rsid w:val="00733AEF"/>
    <w:rsid w:val="00737847"/>
    <w:rsid w:val="007B084A"/>
    <w:rsid w:val="007B64AE"/>
    <w:rsid w:val="007F7D85"/>
    <w:rsid w:val="00815FF7"/>
    <w:rsid w:val="00841042"/>
    <w:rsid w:val="00850F9F"/>
    <w:rsid w:val="008B29B0"/>
    <w:rsid w:val="008C3DE6"/>
    <w:rsid w:val="008F1066"/>
    <w:rsid w:val="00915956"/>
    <w:rsid w:val="00923123"/>
    <w:rsid w:val="00945BE4"/>
    <w:rsid w:val="00946D32"/>
    <w:rsid w:val="00976961"/>
    <w:rsid w:val="00A2633A"/>
    <w:rsid w:val="00A30F0E"/>
    <w:rsid w:val="00A32CA7"/>
    <w:rsid w:val="00A8349E"/>
    <w:rsid w:val="00AA4899"/>
    <w:rsid w:val="00AB7041"/>
    <w:rsid w:val="00B10331"/>
    <w:rsid w:val="00B42B08"/>
    <w:rsid w:val="00B519D3"/>
    <w:rsid w:val="00B745F2"/>
    <w:rsid w:val="00B750EA"/>
    <w:rsid w:val="00B82F3F"/>
    <w:rsid w:val="00B852AF"/>
    <w:rsid w:val="00C0455C"/>
    <w:rsid w:val="00C80444"/>
    <w:rsid w:val="00C97801"/>
    <w:rsid w:val="00CC673D"/>
    <w:rsid w:val="00D01CD7"/>
    <w:rsid w:val="00D0526C"/>
    <w:rsid w:val="00D113D8"/>
    <w:rsid w:val="00D21B1D"/>
    <w:rsid w:val="00D34164"/>
    <w:rsid w:val="00D45E1D"/>
    <w:rsid w:val="00D66E3A"/>
    <w:rsid w:val="00D80CCA"/>
    <w:rsid w:val="00DF2C31"/>
    <w:rsid w:val="00E83224"/>
    <w:rsid w:val="00EC61F0"/>
    <w:rsid w:val="00ED728A"/>
    <w:rsid w:val="00EE644B"/>
    <w:rsid w:val="00F64B91"/>
    <w:rsid w:val="00F8575B"/>
    <w:rsid w:val="00FC07B1"/>
    <w:rsid w:val="00FC2A1D"/>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371503"/>
    <w:pPr>
      <w:widowControl w:val="0"/>
      <w:autoSpaceDE w:val="0"/>
      <w:autoSpaceDN w:val="0"/>
      <w:spacing w:after="0" w:line="240" w:lineRule="auto"/>
      <w:ind w:left="284"/>
      <w:jc w:val="center"/>
      <w:outlineLvl w:val="0"/>
    </w:pPr>
    <w:rPr>
      <w:rFonts w:ascii="Arial" w:eastAsia="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371503"/>
    <w:rPr>
      <w:rFonts w:ascii="Arial" w:eastAsia="Arial" w:hAnsi="Arial" w:cs="Arial"/>
      <w:b/>
      <w:bCs/>
      <w:lang w:val="en-US"/>
    </w:rPr>
  </w:style>
  <w:style w:type="paragraph" w:customStyle="1" w:styleId="TableParagraph">
    <w:name w:val="Table Paragraph"/>
    <w:basedOn w:val="Normal"/>
    <w:uiPriority w:val="1"/>
    <w:qFormat/>
    <w:rsid w:val="00371503"/>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0A2A33"/>
    <w:rPr>
      <w:b/>
      <w:bCs/>
    </w:rPr>
  </w:style>
  <w:style w:type="character" w:styleId="UnresolvedMention">
    <w:name w:val="Unresolved Mention"/>
    <w:basedOn w:val="DefaultParagraphFont"/>
    <w:uiPriority w:val="99"/>
    <w:semiHidden/>
    <w:unhideWhenUsed/>
    <w:rsid w:val="00130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78947">
      <w:bodyDiv w:val="1"/>
      <w:marLeft w:val="0"/>
      <w:marRight w:val="0"/>
      <w:marTop w:val="0"/>
      <w:marBottom w:val="0"/>
      <w:divBdr>
        <w:top w:val="none" w:sz="0" w:space="0" w:color="auto"/>
        <w:left w:val="none" w:sz="0" w:space="0" w:color="auto"/>
        <w:bottom w:val="none" w:sz="0" w:space="0" w:color="auto"/>
        <w:right w:val="none" w:sz="0" w:space="0" w:color="auto"/>
      </w:divBdr>
    </w:div>
    <w:div w:id="106957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v.ac.in/Tenders" TargetMode="External"/><Relationship Id="rId3" Type="http://schemas.openxmlformats.org/officeDocument/2006/relationships/settings" Target="settings.xml"/><Relationship Id="rId7" Type="http://schemas.openxmlformats.org/officeDocument/2006/relationships/hyperlink" Target="http://www.spa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2</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52</cp:revision>
  <cp:lastPrinted>2023-04-05T07:04:00Z</cp:lastPrinted>
  <dcterms:created xsi:type="dcterms:W3CDTF">2022-12-26T09:19:00Z</dcterms:created>
  <dcterms:modified xsi:type="dcterms:W3CDTF">2026-02-10T10:12:00Z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